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173355</wp:posOffset>
                </wp:positionV>
                <wp:extent cx="597217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3pt;margin-top:13.65pt;height:0pt;width:470.25pt;z-index:251660288;mso-width-relative:page;mso-height-relative:page;" filled="f" stroked="t" coordsize="21600,21600" o:gfxdata="UEsDBAoAAAAAAIdO4kAAAAAAAAAAAAAAAAAEAAAAZHJzL1BLAwQUAAAACACHTuJAVOMAu9cAAAAJ&#10;AQAADwAAAGRycy9kb3ducmV2LnhtbE2PsU7DMBCGdyTewTokttZuKzVNiNMBiQEJCQgMjG58jdPa&#10;5xC7SXh7jBhgvLtf331/uZ+dZSMOofMkYbUUwJAarztqJby/PSx2wEJUpJX1hBK+MMC+ur4qVaH9&#10;RK841rFlCUKhUBJMjH3BeWgMOhWWvkdKt6MfnIppHFquBzUluLN8LcSWO9VR+mBUj/cGm3N9cYlC&#10;2edxtsPHy/OT2dXTCR/HDKW8vVmJO2AR5/gXhh/9pA5Vcjr4C+nArITFRmxTVMI62wBLgVzkObDD&#10;74JXJf/foPoGUEsDBBQAAAAIAIdO4kDKK6mg0AEAAK8DAAAOAAAAZHJzL2Uyb0RvYy54bWytU8mO&#10;2zAMvRfoPwi6N86CzEyNOHNIML0UbdDlAxhZtgVoA6mJk78vJWeWTi9zqA8yRZGPeo/U5v7srDhp&#10;JBN8IxezuRTaq9Aa3zfy96+HT3dSUALfgg1eN/KiSd5vP37YjLHWyzAE22oUDOKpHmMjh5RiXVWk&#10;Bu2AZiFqz4ddQAeJt9hXLcLI6M5Wy/n8phoDthGD0kTs3U+H8oqI7wEMXWeU3gf16LRPEypqC4kp&#10;0WAiyW25bddplb53HekkbCOZaSorF2H7mNdqu4G6R4iDUdcrwHuu8IaTA+O56DPUHhKIRzT/QDmj&#10;MFDo0kwFV01EiiLMYjF/o83PAaIuXFhqis+i0/+DVd9OBxSmbeRKCg+OG77jtqsUUPzQKYhVlmiM&#10;VHPkzh/wuqN4wMz33KHLf2YizkXWy7Os+pyEYuf68+1ycbuWQj2dVS+JESl90cGJbDTSGp8ZQw2n&#10;r5S4GIc+hWS3Dw/G2tI168XYyJvVmnupgCex4wlg00VmQ76XAmzPI64SFkQK1rQ5O+MQ9sedRXGC&#10;PBjly0S52l9hufQeaJjiytE0Ms4kfgXWuEbevc62nkGyXJNA2TqG9lJ0K37uYylznbk8KK/3Jfvl&#10;n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TjALvXAAAACQEAAA8AAAAAAAAAAQAgAAAAIgAA&#10;AGRycy9kb3ducmV2LnhtbFBLAQIUABQAAAAIAIdO4kDKK6mg0AEAAK8DAAAOAAAAAAAAAAEAIAAA&#10;ACY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ndara" w:hAnsi="Candara"/>
          <w:b/>
          <w:sz w:val="24"/>
        </w:rPr>
        <w:tab/>
      </w:r>
    </w:p>
    <w:p>
      <w:pPr>
        <w:jc w:val="center"/>
        <w:rPr>
          <w:rFonts w:hint="default" w:ascii="Calibri" w:hAnsi="Calibri" w:cs="Calibri"/>
          <w:b/>
          <w:lang w:val="pt-BR"/>
        </w:rPr>
      </w:pPr>
      <w:r>
        <w:rPr>
          <w:rFonts w:hint="default" w:ascii="Calibri" w:hAnsi="Calibri" w:cs="Calibri"/>
          <w:b/>
          <w:lang w:val="pt-BR"/>
        </w:rPr>
        <w:t>MOVIMENTAÇÃO DE BENS PERMANENTES</w:t>
      </w:r>
    </w:p>
    <w:p>
      <w:pPr>
        <w:jc w:val="right"/>
        <w:rPr>
          <w:rFonts w:hint="default" w:ascii="Calibri" w:hAnsi="Calibri" w:cs="Calibri"/>
          <w:b w:val="0"/>
          <w:bCs/>
          <w:lang w:val="pt-BR"/>
        </w:rPr>
      </w:pPr>
      <w:r>
        <w:rPr>
          <w:rFonts w:hint="default" w:ascii="Calibri" w:hAnsi="Calibri" w:cs="Calibri"/>
          <w:b w:val="0"/>
          <w:bCs/>
          <w:lang w:val="pt-BR"/>
        </w:rPr>
        <w:t>Data</w:t>
      </w:r>
      <w:r>
        <w:rPr>
          <w:rFonts w:hint="default" w:ascii="Calibri" w:hAnsi="Calibri" w:cs="Calibri"/>
          <w:b w:val="0"/>
          <w:bCs/>
        </w:rPr>
        <w:t>:</w:t>
      </w:r>
      <w:r>
        <w:rPr>
          <w:rFonts w:hint="default" w:ascii="Calibri" w:hAnsi="Calibri" w:cs="Calibri"/>
          <w:b w:val="0"/>
          <w:bCs/>
          <w:lang w:val="pt-BR"/>
        </w:rPr>
        <w:t xml:space="preserve">     /</w:t>
      </w:r>
      <w:r>
        <w:rPr>
          <w:rFonts w:hint="default" w:ascii="Calibri" w:hAnsi="Calibri" w:cs="Calibri"/>
          <w:b w:val="0"/>
          <w:bCs/>
        </w:rPr>
        <w:t xml:space="preserve"> </w:t>
      </w:r>
      <w:r>
        <w:rPr>
          <w:rFonts w:hint="default" w:ascii="Calibri" w:hAnsi="Calibri" w:cs="Calibri"/>
          <w:b w:val="0"/>
          <w:bCs/>
          <w:lang w:val="pt-BR"/>
        </w:rPr>
        <w:t xml:space="preserve">    </w:t>
      </w:r>
      <w:r>
        <w:rPr>
          <w:rFonts w:hint="default" w:ascii="Calibri" w:hAnsi="Calibri" w:cs="Calibri"/>
          <w:b w:val="0"/>
          <w:bCs/>
        </w:rPr>
        <w:t>/</w:t>
      </w:r>
      <w:r>
        <w:rPr>
          <w:rFonts w:hint="default" w:ascii="Calibri" w:hAnsi="Calibri" w:cs="Calibri"/>
          <w:b w:val="0"/>
          <w:bCs/>
          <w:lang w:val="pt-BR"/>
        </w:rPr>
        <w:t>2021</w:t>
      </w:r>
    </w:p>
    <w:p>
      <w:pPr>
        <w:spacing w:after="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Solicitante: </w:t>
      </w:r>
    </w:p>
    <w:p>
      <w:pPr>
        <w:spacing w:after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Siape:</w:t>
      </w:r>
    </w:p>
    <w:p>
      <w:pPr>
        <w:spacing w:after="0"/>
        <w:jc w:val="both"/>
        <w:rPr>
          <w:rFonts w:hint="default" w:ascii="Calibri" w:hAnsi="Calibri" w:cs="Calibri"/>
          <w:sz w:val="22"/>
          <w:szCs w:val="28"/>
          <w:lang w:val="pt-BR"/>
        </w:rPr>
      </w:pPr>
      <w:r>
        <w:rPr>
          <w:rFonts w:hint="default" w:ascii="Calibri" w:hAnsi="Calibri" w:cs="Calibri"/>
          <w:sz w:val="22"/>
          <w:szCs w:val="28"/>
          <w:lang w:val="pt-BR"/>
        </w:rPr>
        <w:t>Tipo de movimentação:</w:t>
      </w:r>
    </w:p>
    <w:p>
      <w:pPr>
        <w:spacing w:after="0"/>
        <w:jc w:val="both"/>
        <w:rPr>
          <w:rFonts w:hint="default" w:ascii="Calibri" w:hAnsi="Calibri" w:cs="Calibri"/>
          <w:sz w:val="20"/>
          <w:szCs w:val="22"/>
          <w:lang w:val="pt-BR"/>
        </w:rPr>
      </w:pPr>
      <w:r>
        <w:rPr>
          <w:rFonts w:hint="default" w:ascii="Calibri" w:hAnsi="Calibri" w:cs="Calibri"/>
          <w:sz w:val="20"/>
          <w:szCs w:val="22"/>
          <w:lang w:val="pt-BR"/>
        </w:rPr>
        <w:t xml:space="preserve">(    ) Transferência entre detentores 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2"/>
          <w:lang w:val="pt-BR"/>
        </w:rPr>
        <w:t>sem</w:t>
      </w:r>
      <w:r>
        <w:rPr>
          <w:rFonts w:hint="default" w:ascii="Calibri" w:hAnsi="Calibri" w:cs="Calibri"/>
          <w:sz w:val="20"/>
          <w:szCs w:val="22"/>
          <w:lang w:val="pt-BR"/>
        </w:rPr>
        <w:t xml:space="preserve"> movimentação física.</w:t>
      </w:r>
    </w:p>
    <w:p>
      <w:pPr>
        <w:spacing w:after="0"/>
        <w:jc w:val="both"/>
        <w:rPr>
          <w:rFonts w:hint="default" w:ascii="Calibri" w:hAnsi="Calibri" w:cs="Calibri"/>
          <w:sz w:val="20"/>
          <w:szCs w:val="22"/>
          <w:lang w:val="pt-BR"/>
        </w:rPr>
      </w:pPr>
      <w:r>
        <w:rPr>
          <w:rFonts w:hint="default" w:ascii="Calibri" w:hAnsi="Calibri" w:cs="Calibri"/>
          <w:sz w:val="20"/>
          <w:szCs w:val="22"/>
          <w:lang w:val="pt-BR"/>
        </w:rPr>
        <w:t xml:space="preserve">(    ) Transferência entre detentores </w:t>
      </w:r>
      <w:r>
        <w:rPr>
          <w:rFonts w:hint="default" w:ascii="Calibri" w:hAnsi="Calibri" w:cs="Calibri"/>
          <w:b w:val="0"/>
          <w:bCs w:val="0"/>
          <w:i/>
          <w:iCs/>
          <w:sz w:val="20"/>
          <w:szCs w:val="22"/>
          <w:lang w:val="pt-BR"/>
        </w:rPr>
        <w:t>com</w:t>
      </w:r>
      <w:r>
        <w:rPr>
          <w:rFonts w:hint="default" w:ascii="Calibri" w:hAnsi="Calibri" w:cs="Calibri"/>
          <w:sz w:val="20"/>
          <w:szCs w:val="22"/>
          <w:lang w:val="pt-BR"/>
        </w:rPr>
        <w:t xml:space="preserve"> movimentação física.</w:t>
      </w:r>
    </w:p>
    <w:p>
      <w:pPr>
        <w:spacing w:after="0"/>
        <w:jc w:val="both"/>
        <w:rPr>
          <w:rFonts w:hint="default" w:ascii="Calibri" w:hAnsi="Calibri" w:cs="Calibri"/>
          <w:sz w:val="20"/>
          <w:szCs w:val="22"/>
          <w:lang w:val="pt-BR"/>
        </w:rPr>
      </w:pPr>
      <w:r>
        <w:rPr>
          <w:rFonts w:hint="default" w:ascii="Calibri" w:hAnsi="Calibri" w:cs="Calibri"/>
          <w:sz w:val="20"/>
          <w:szCs w:val="22"/>
          <w:lang w:val="pt-BR"/>
        </w:rPr>
        <w:t>(    ) Somente a movimentação física do bem.</w:t>
      </w:r>
    </w:p>
    <w:p>
      <w:pPr>
        <w:spacing w:after="0"/>
        <w:jc w:val="both"/>
        <w:rPr>
          <w:rFonts w:hint="default" w:ascii="Calibri" w:hAnsi="Calibri" w:cs="Calibri"/>
          <w:sz w:val="20"/>
          <w:szCs w:val="22"/>
        </w:rPr>
      </w:pPr>
    </w:p>
    <w:tbl>
      <w:tblPr>
        <w:tblStyle w:val="8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6873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TOMBO</w:t>
            </w:r>
          </w:p>
        </w:tc>
        <w:tc>
          <w:tcPr>
            <w:tcW w:w="68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sz w:val="20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 xml:space="preserve">DESCRIÇÃO DO </w:t>
            </w:r>
            <w:r>
              <w:rPr>
                <w:rFonts w:hint="default" w:ascii="Calibri" w:hAnsi="Calibri" w:cs="Calibri"/>
                <w:sz w:val="20"/>
                <w:szCs w:val="24"/>
                <w:lang w:val="pt-BR"/>
              </w:rPr>
              <w:t>BEM PERMANENTE</w:t>
            </w:r>
          </w:p>
        </w:tc>
        <w:tc>
          <w:tcPr>
            <w:tcW w:w="65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sz w:val="20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pt-BR"/>
              </w:rPr>
              <w:t>QTD.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FF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FF0000"/>
                <w:sz w:val="22"/>
                <w:szCs w:val="22"/>
                <w:u w:val="none"/>
                <w:lang w:val="pt-B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FF0000"/>
                <w:sz w:val="22"/>
                <w:szCs w:val="22"/>
                <w:u w:val="no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pt-BR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pt-BR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18"/>
                <w:szCs w:val="22"/>
                <w:lang w:val="pt-BR"/>
              </w:rPr>
            </w:pPr>
          </w:p>
        </w:tc>
        <w:tc>
          <w:tcPr>
            <w:tcW w:w="6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</w:tr>
    </w:tbl>
    <w:p>
      <w:pPr>
        <w:spacing w:after="0"/>
        <w:jc w:val="both"/>
        <w:rPr>
          <w:rFonts w:hint="default" w:ascii="Calibri" w:hAnsi="Calibri" w:cs="Calibri"/>
          <w:sz w:val="22"/>
          <w:szCs w:val="22"/>
        </w:rPr>
      </w:pPr>
    </w:p>
    <w:tbl>
      <w:tblPr>
        <w:tblStyle w:val="11"/>
        <w:tblW w:w="9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16" w:type="dxa"/>
          </w:tcPr>
          <w:p>
            <w:pPr>
              <w:spacing w:after="0" w:line="240" w:lineRule="auto"/>
              <w:ind w:firstLine="601"/>
              <w:jc w:val="both"/>
              <w:rPr>
                <w:rFonts w:hint="default" w:ascii="Calibri" w:hAnsi="Calibri" w:cs="Calibri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2"/>
                <w:lang w:val="pt-BR"/>
              </w:rPr>
              <w:t>Solicito cordialmente o remanejamento dos bens descritos acima, conforme o tipo de movimentação citado.</w:t>
            </w:r>
          </w:p>
          <w:p>
            <w:pPr>
              <w:spacing w:after="0" w:line="240" w:lineRule="auto"/>
              <w:ind w:left="0" w:leftChars="0" w:firstLine="446" w:firstLineChars="223"/>
              <w:jc w:val="both"/>
              <w:rPr>
                <w:rFonts w:hint="default" w:ascii="Calibri" w:hAnsi="Calibri" w:cs="Calibri"/>
                <w:b w:val="0"/>
                <w:bCs w:val="0"/>
                <w:sz w:val="20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2"/>
                <w:lang w:val="pt-BR"/>
              </w:rPr>
              <w:t xml:space="preserve"> Informo que os bens deverão ser remanejados do local/setor_________________________________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b w:val="0"/>
                <w:bCs w:val="0"/>
                <w:color w:val="auto"/>
                <w:sz w:val="20"/>
                <w:szCs w:val="22"/>
                <w:u w:val="none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0"/>
                <w:szCs w:val="22"/>
                <w:u w:val="none"/>
                <w:lang w:val="pt-BR"/>
              </w:rPr>
              <w:t xml:space="preserve">para o </w:t>
            </w:r>
            <w:r>
              <w:rPr>
                <w:rFonts w:hint="default" w:ascii="Calibri" w:hAnsi="Calibri" w:cs="Calibri"/>
                <w:b w:val="0"/>
                <w:bCs w:val="0"/>
                <w:sz w:val="20"/>
                <w:szCs w:val="22"/>
                <w:lang w:val="pt-BR"/>
              </w:rPr>
              <w:t>local/setor____________________________.</w:t>
            </w:r>
          </w:p>
          <w:p>
            <w:pPr>
              <w:spacing w:after="0" w:line="240" w:lineRule="auto"/>
              <w:ind w:firstLine="601"/>
              <w:jc w:val="both"/>
              <w:rPr>
                <w:rFonts w:hint="default" w:ascii="Calibri" w:hAnsi="Calibri" w:cs="Calibri"/>
                <w:b w:val="0"/>
                <w:bCs w:val="0"/>
                <w:color w:val="auto"/>
                <w:sz w:val="20"/>
                <w:szCs w:val="22"/>
                <w:u w:val="none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0"/>
                <w:szCs w:val="22"/>
                <w:u w:val="none"/>
                <w:lang w:val="pt-BR"/>
              </w:rPr>
              <w:t>A transferência de carga patrimonial deverá ocorrer do servidor______________________________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b/>
                <w:bCs/>
                <w:color w:val="auto"/>
                <w:sz w:val="20"/>
                <w:szCs w:val="22"/>
                <w:u w:val="none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0"/>
                <w:szCs w:val="22"/>
                <w:u w:val="none"/>
                <w:lang w:val="pt-BR"/>
              </w:rPr>
              <w:t>para o servidor______________________________.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hint="default" w:ascii="Calibri" w:hAnsi="Calibri" w:cs="Calibri"/>
          <w:sz w:val="22"/>
          <w:szCs w:val="22"/>
        </w:rPr>
      </w:pPr>
    </w:p>
    <w:tbl>
      <w:tblPr>
        <w:tblStyle w:val="8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973"/>
        <w:gridCol w:w="2973"/>
        <w:gridCol w:w="2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2973" w:type="dxa"/>
            <w:tcBorders>
              <w:bottom w:val="dotted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</w:tc>
        <w:tc>
          <w:tcPr>
            <w:tcW w:w="2973" w:type="dxa"/>
            <w:tcBorders>
              <w:bottom w:val="dotted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wordWrap w:val="0"/>
              <w:spacing w:after="0"/>
              <w:jc w:val="righ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973" w:type="dxa"/>
            <w:tcBorders>
              <w:bottom w:val="dotted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wordWrap w:val="0"/>
              <w:spacing w:after="0"/>
              <w:jc w:val="right"/>
              <w:rPr>
                <w:rFonts w:hint="default" w:ascii="Calibri" w:hAnsi="Calibri" w:cs="Calibri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2973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Calibri" w:hAnsi="Calibri" w:cs="Calibri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sz w:val="20"/>
                <w:szCs w:val="20"/>
                <w:vertAlign w:val="baseline"/>
                <w:lang w:val="pt-BR"/>
              </w:rPr>
              <w:t>Servidor Cedente</w:t>
            </w:r>
          </w:p>
        </w:tc>
        <w:tc>
          <w:tcPr>
            <w:tcW w:w="2973" w:type="dxa"/>
            <w:tcBorders>
              <w:top w:val="dotted" w:color="000000" w:sz="4" w:space="0"/>
              <w:left w:val="dotted" w:color="000000" w:sz="4" w:space="0"/>
            </w:tcBorders>
          </w:tcPr>
          <w:p>
            <w:pPr>
              <w:spacing w:after="0"/>
              <w:jc w:val="center"/>
              <w:rPr>
                <w:rFonts w:hint="default" w:ascii="Calibri" w:hAnsi="Calibri" w:cs="Calibri"/>
                <w:sz w:val="16"/>
              </w:rPr>
            </w:pPr>
            <w:r>
              <w:rPr>
                <w:rFonts w:hint="default" w:ascii="Calibri" w:hAnsi="Calibri" w:cs="Calibri"/>
                <w:sz w:val="16"/>
              </w:rPr>
              <w:t>Sátiro Monteiro Oliveira</w:t>
            </w:r>
          </w:p>
          <w:p>
            <w:pPr>
              <w:spacing w:after="0"/>
              <w:jc w:val="center"/>
              <w:rPr>
                <w:rFonts w:hint="default" w:ascii="Calibri" w:hAnsi="Calibri" w:cs="Calibri"/>
                <w:sz w:val="16"/>
              </w:rPr>
            </w:pPr>
            <w:r>
              <w:rPr>
                <w:rFonts w:hint="default" w:ascii="Calibri" w:hAnsi="Calibri" w:cs="Calibri"/>
                <w:sz w:val="16"/>
                <w:lang w:val="pt-BR"/>
              </w:rPr>
              <w:t xml:space="preserve">SAP - </w:t>
            </w:r>
            <w:r>
              <w:rPr>
                <w:rFonts w:hint="default" w:ascii="Calibri" w:hAnsi="Calibri" w:cs="Calibri"/>
                <w:sz w:val="16"/>
              </w:rPr>
              <w:t>IFPA Campus Óbidos</w:t>
            </w:r>
          </w:p>
          <w:p>
            <w:pPr>
              <w:spacing w:after="0"/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sz w:val="16"/>
              </w:rPr>
              <w:t>Portaria 2.002/2019- GAB</w:t>
            </w:r>
          </w:p>
        </w:tc>
        <w:tc>
          <w:tcPr>
            <w:tcW w:w="2973" w:type="dxa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Calibri" w:hAnsi="Calibri" w:cs="Calibri"/>
                <w:sz w:val="20"/>
                <w:szCs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szCs w:val="20"/>
                <w:vertAlign w:val="baseline"/>
                <w:lang w:val="pt-BR"/>
              </w:rPr>
              <w:t>Servidor Cessionário</w:t>
            </w:r>
          </w:p>
        </w:tc>
      </w:tr>
    </w:tbl>
    <w:p>
      <w:pPr>
        <w:spacing w:after="0"/>
        <w:rPr>
          <w:rFonts w:ascii="Candara" w:hAnsi="Candara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Instituto Federal do Pará – Campus Óbidos – CNPJ: 10.763.998/0014-54</w:t>
    </w:r>
  </w:p>
  <w:p>
    <w:pPr>
      <w:pStyle w:val="6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Setor de Almoxarifado e Patrimônio</w:t>
    </w:r>
  </w:p>
  <w:p>
    <w:pPr>
      <w:pStyle w:val="6"/>
      <w:jc w:val="center"/>
      <w:rPr>
        <w:rFonts w:ascii="Candara" w:hAnsi="Candara"/>
        <w:sz w:val="20"/>
      </w:rPr>
    </w:pPr>
    <w:r>
      <w:rPr>
        <w:rFonts w:ascii="Candara" w:hAnsi="Candara"/>
        <w:sz w:val="20"/>
      </w:rPr>
      <w:t>Av. Prefeito Nelson Souza, S/N – Industrial – Óbidos, PA – CEP: 68.250-000</w:t>
    </w:r>
  </w:p>
  <w:p>
    <w:pPr>
      <w:pStyle w:val="6"/>
      <w:jc w:val="center"/>
      <w:rPr>
        <w:rFonts w:ascii="Candara" w:hAnsi="Candara"/>
        <w:sz w:val="20"/>
      </w:rPr>
    </w:pPr>
    <w:r>
      <w:rPr>
        <w:rFonts w:ascii="Candara" w:hAnsi="Candara"/>
        <w:sz w:val="20"/>
      </w:rPr>
      <w:t xml:space="preserve">E-mail: </w:t>
    </w:r>
    <w:r>
      <w:fldChar w:fldCharType="begin"/>
    </w:r>
    <w:r>
      <w:instrText xml:space="preserve"> HYPERLINK "mailto:almoxarifado.obidos@ifpa.edu.br" </w:instrText>
    </w:r>
    <w:r>
      <w:fldChar w:fldCharType="separate"/>
    </w:r>
    <w:r>
      <w:rPr>
        <w:rStyle w:val="4"/>
        <w:rFonts w:hint="default" w:ascii="Candara" w:hAnsi="Candara"/>
        <w:sz w:val="20"/>
        <w:lang w:val="pt-BR"/>
      </w:rPr>
      <w:t>sap</w:t>
    </w:r>
    <w:r>
      <w:rPr>
        <w:rStyle w:val="4"/>
        <w:rFonts w:ascii="Candara" w:hAnsi="Candara"/>
        <w:sz w:val="20"/>
      </w:rPr>
      <w:t>.obidos@ifpa.edu.br</w:t>
    </w:r>
    <w:r>
      <w:rPr>
        <w:rStyle w:val="4"/>
        <w:rFonts w:ascii="Candara" w:hAnsi="Candar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Candara" w:hAnsi="Candara"/>
        <w:b/>
        <w:sz w:val="20"/>
      </w:rPr>
    </w:pPr>
    <w:r>
      <w:rPr>
        <w:rFonts w:ascii="Candara" w:hAnsi="Candara"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381000</wp:posOffset>
          </wp:positionH>
          <wp:positionV relativeFrom="paragraph">
            <wp:posOffset>6985</wp:posOffset>
          </wp:positionV>
          <wp:extent cx="687070" cy="761365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20" cy="771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38175" cy="7632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59" cy="7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sz w:val="20"/>
      </w:rPr>
      <w:t>SERVIÇO PÚBLICO FEDERAL</w:t>
    </w:r>
  </w:p>
  <w:p>
    <w:pPr>
      <w:pStyle w:val="5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MINISTÉRIO DA EDUCAÇÃO</w:t>
    </w:r>
  </w:p>
  <w:p>
    <w:pPr>
      <w:pStyle w:val="5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INSTITUTO FEDERAL DE EDUCAÇÃO, CIÊNCIA E TECNOLOGIA DO PARÁ – CAMPUS ÓBIDOS</w:t>
    </w:r>
  </w:p>
  <w:p>
    <w:pPr>
      <w:pStyle w:val="5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DIRETORIA DE ADMINISTRAÇÃO E PLANEJAMENTO</w:t>
    </w:r>
  </w:p>
  <w:p>
    <w:pPr>
      <w:pStyle w:val="5"/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>SETOR DE ALMOXARIFADO E PATRIMÔNIO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7"/>
    <w:rsid w:val="00010F18"/>
    <w:rsid w:val="0003610F"/>
    <w:rsid w:val="00043928"/>
    <w:rsid w:val="000A1BCE"/>
    <w:rsid w:val="000D2099"/>
    <w:rsid w:val="00161A2E"/>
    <w:rsid w:val="001904D3"/>
    <w:rsid w:val="00193B19"/>
    <w:rsid w:val="001A33DD"/>
    <w:rsid w:val="001E667B"/>
    <w:rsid w:val="001F2451"/>
    <w:rsid w:val="00207EB2"/>
    <w:rsid w:val="002669A0"/>
    <w:rsid w:val="00266C02"/>
    <w:rsid w:val="002B4298"/>
    <w:rsid w:val="003158A2"/>
    <w:rsid w:val="00317A63"/>
    <w:rsid w:val="003227A7"/>
    <w:rsid w:val="00366CE5"/>
    <w:rsid w:val="00381184"/>
    <w:rsid w:val="003F4C12"/>
    <w:rsid w:val="00410C26"/>
    <w:rsid w:val="00486B19"/>
    <w:rsid w:val="004C2308"/>
    <w:rsid w:val="004C6171"/>
    <w:rsid w:val="004D4D45"/>
    <w:rsid w:val="00501478"/>
    <w:rsid w:val="00557EDB"/>
    <w:rsid w:val="0058759B"/>
    <w:rsid w:val="00625DDB"/>
    <w:rsid w:val="0067271D"/>
    <w:rsid w:val="006A74FA"/>
    <w:rsid w:val="00765BD3"/>
    <w:rsid w:val="00790884"/>
    <w:rsid w:val="007A7CB1"/>
    <w:rsid w:val="007C03EF"/>
    <w:rsid w:val="00824257"/>
    <w:rsid w:val="00967888"/>
    <w:rsid w:val="00A76D08"/>
    <w:rsid w:val="00B079E3"/>
    <w:rsid w:val="00B11105"/>
    <w:rsid w:val="00B2606C"/>
    <w:rsid w:val="00B4367E"/>
    <w:rsid w:val="00B7554A"/>
    <w:rsid w:val="00C6025B"/>
    <w:rsid w:val="00C72B4E"/>
    <w:rsid w:val="00CA5B79"/>
    <w:rsid w:val="00CC1655"/>
    <w:rsid w:val="00D82CEF"/>
    <w:rsid w:val="00D9044F"/>
    <w:rsid w:val="00DC5549"/>
    <w:rsid w:val="00DD7920"/>
    <w:rsid w:val="00E31B9B"/>
    <w:rsid w:val="00E779F0"/>
    <w:rsid w:val="00E830E8"/>
    <w:rsid w:val="00EF703E"/>
    <w:rsid w:val="00F11599"/>
    <w:rsid w:val="00F16E7A"/>
    <w:rsid w:val="00F43006"/>
    <w:rsid w:val="00F733CF"/>
    <w:rsid w:val="00F94773"/>
    <w:rsid w:val="05E0714E"/>
    <w:rsid w:val="06B31870"/>
    <w:rsid w:val="06EF44C1"/>
    <w:rsid w:val="07BB7CAC"/>
    <w:rsid w:val="095604ED"/>
    <w:rsid w:val="0A9B77A3"/>
    <w:rsid w:val="0C2E0DE2"/>
    <w:rsid w:val="0EB5172E"/>
    <w:rsid w:val="0F4F00F8"/>
    <w:rsid w:val="10687852"/>
    <w:rsid w:val="12AF057A"/>
    <w:rsid w:val="136E3796"/>
    <w:rsid w:val="1F1A7859"/>
    <w:rsid w:val="249830DF"/>
    <w:rsid w:val="25F61011"/>
    <w:rsid w:val="36670757"/>
    <w:rsid w:val="3C8977CF"/>
    <w:rsid w:val="446A60FE"/>
    <w:rsid w:val="49751D89"/>
    <w:rsid w:val="4A905FF6"/>
    <w:rsid w:val="4AB937A4"/>
    <w:rsid w:val="4C1B3068"/>
    <w:rsid w:val="4F7D0B97"/>
    <w:rsid w:val="54F10090"/>
    <w:rsid w:val="5657448D"/>
    <w:rsid w:val="5837219F"/>
    <w:rsid w:val="5BC66933"/>
    <w:rsid w:val="603264EF"/>
    <w:rsid w:val="63791F34"/>
    <w:rsid w:val="692E4B8A"/>
    <w:rsid w:val="6BF216CA"/>
    <w:rsid w:val="7368220C"/>
    <w:rsid w:val="776655E1"/>
    <w:rsid w:val="7EA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table" w:customStyle="1" w:styleId="11">
    <w:name w:val="Plain Table 4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2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6A0C8-0E3F-4AA4-A9F8-0BDF4221E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1253</Characters>
  <Lines>10</Lines>
  <Paragraphs>2</Paragraphs>
  <TotalTime>20</TotalTime>
  <ScaleCrop>false</ScaleCrop>
  <LinksUpToDate>false</LinksUpToDate>
  <CharactersWithSpaces>1483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2019-11-08T20:00:00Z</dcterms:created>
  <dc:creator>IFPA</dc:creator>
  <cp:lastModifiedBy>google1581444379</cp:lastModifiedBy>
  <cp:lastPrinted>2021-08-04T18:56:19Z</cp:lastPrinted>
  <dcterms:modified xsi:type="dcterms:W3CDTF">2021-08-04T19:13:33Z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1046-11.2.0.10224</vt:lpwstr>
  </property>
</Properties>
</file>